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450" w:tblpY="-78"/>
        <w:tblW w:w="10080" w:type="dxa"/>
        <w:tblBorders>
          <w:top w:val="nil"/>
          <w:left w:val="nil"/>
          <w:right w:val="nil"/>
        </w:tblBorders>
        <w:tblLayout w:type="fixed"/>
        <w:tblLook w:val="0000" w:firstRow="0" w:lastRow="0" w:firstColumn="0" w:lastColumn="0" w:noHBand="0" w:noVBand="0"/>
      </w:tblPr>
      <w:tblGrid>
        <w:gridCol w:w="10080"/>
      </w:tblGrid>
      <w:tr w:rsidR="009E6A8E" w14:paraId="4CA7B3DA" w14:textId="77777777" w:rsidTr="009767EB">
        <w:trPr>
          <w:trHeight w:val="555"/>
        </w:trPr>
        <w:tc>
          <w:tcPr>
            <w:tcW w:w="10080" w:type="dxa"/>
            <w:shd w:val="clear" w:color="auto" w:fill="FFFFFF"/>
            <w:tcMar>
              <w:top w:w="20" w:type="nil"/>
              <w:left w:w="20" w:type="nil"/>
              <w:bottom w:w="20" w:type="nil"/>
              <w:right w:w="20" w:type="nil"/>
            </w:tcMar>
            <w:vAlign w:val="center"/>
          </w:tcPr>
          <w:p w14:paraId="20BEA409" w14:textId="660D82A1" w:rsidR="009E6A8E" w:rsidRPr="00B1612C" w:rsidRDefault="000C5397" w:rsidP="00B1612C">
            <w:r>
              <w:rPr>
                <w:rFonts w:ascii="Times" w:hAnsi="Times" w:cs="Times"/>
                <w:sz w:val="32"/>
                <w:szCs w:val="32"/>
              </w:rPr>
              <w:t>Contributed by: Steve Waters, Los Medanos College</w:t>
            </w:r>
          </w:p>
        </w:tc>
      </w:tr>
    </w:tbl>
    <w:p w14:paraId="0264742F" w14:textId="73224E21" w:rsidR="00B80DAF" w:rsidRPr="00B80DAF" w:rsidRDefault="00B80DAF" w:rsidP="00B80DAF">
      <w:pPr>
        <w:widowControl w:val="0"/>
        <w:autoSpaceDE w:val="0"/>
        <w:autoSpaceDN w:val="0"/>
        <w:adjustRightInd w:val="0"/>
        <w:spacing w:after="240"/>
        <w:jc w:val="center"/>
        <w:rPr>
          <w:rFonts w:ascii="Times" w:hAnsi="Times" w:cs="Times"/>
          <w:color w:val="0070C0"/>
          <w:sz w:val="96"/>
          <w:szCs w:val="38"/>
        </w:rPr>
      </w:pPr>
      <w:r w:rsidRPr="00B80DAF">
        <w:rPr>
          <w:rFonts w:ascii="Times" w:hAnsi="Times" w:cs="Times"/>
          <w:color w:val="0070C0"/>
          <w:sz w:val="96"/>
          <w:szCs w:val="38"/>
        </w:rPr>
        <w:t xml:space="preserve">Scientist Spotlight: </w:t>
      </w:r>
    </w:p>
    <w:p w14:paraId="1B6FC062" w14:textId="16A0A7E9" w:rsidR="00B80DAF" w:rsidRPr="00B80DAF" w:rsidRDefault="000C5397" w:rsidP="00B80DAF">
      <w:pPr>
        <w:widowControl w:val="0"/>
        <w:autoSpaceDE w:val="0"/>
        <w:autoSpaceDN w:val="0"/>
        <w:adjustRightInd w:val="0"/>
        <w:spacing w:after="240"/>
        <w:jc w:val="center"/>
        <w:rPr>
          <w:rFonts w:ascii="Times" w:hAnsi="Times" w:cs="Times"/>
          <w:color w:val="262626"/>
          <w:sz w:val="96"/>
          <w:szCs w:val="38"/>
        </w:rPr>
      </w:pPr>
      <w:r w:rsidRPr="000C5397">
        <w:rPr>
          <w:rFonts w:ascii="Times" w:hAnsi="Times" w:cs="Times"/>
          <w:color w:val="262626"/>
          <w:sz w:val="96"/>
          <w:szCs w:val="38"/>
        </w:rPr>
        <w:t>Frances Kelsey</w:t>
      </w:r>
    </w:p>
    <w:tbl>
      <w:tblPr>
        <w:tblStyle w:val="TableGrid"/>
        <w:tblW w:w="11250" w:type="dxa"/>
        <w:tblInd w:w="-905" w:type="dxa"/>
        <w:tblLook w:val="04A0" w:firstRow="1" w:lastRow="0" w:firstColumn="1" w:lastColumn="0" w:noHBand="0" w:noVBand="1"/>
      </w:tblPr>
      <w:tblGrid>
        <w:gridCol w:w="11250"/>
      </w:tblGrid>
      <w:tr w:rsidR="00B80DAF" w14:paraId="44570D2F" w14:textId="77777777" w:rsidTr="00B80DAF">
        <w:tc>
          <w:tcPr>
            <w:tcW w:w="11250" w:type="dxa"/>
          </w:tcPr>
          <w:p w14:paraId="535DB0CA" w14:textId="38BF19DE" w:rsidR="00342F0A" w:rsidRDefault="00342F0A" w:rsidP="00342F0A">
            <w:pPr>
              <w:widowControl w:val="0"/>
              <w:tabs>
                <w:tab w:val="left" w:pos="220"/>
                <w:tab w:val="left" w:pos="720"/>
              </w:tabs>
              <w:autoSpaceDE w:val="0"/>
              <w:autoSpaceDN w:val="0"/>
              <w:adjustRightInd w:val="0"/>
              <w:spacing w:after="320"/>
              <w:rPr>
                <w:rFonts w:ascii="Calibri" w:hAnsi="Calibri" w:cs="Calibri"/>
                <w:sz w:val="32"/>
                <w:szCs w:val="32"/>
              </w:rPr>
            </w:pPr>
            <w:r>
              <w:rPr>
                <w:rFonts w:ascii="Calibri" w:hAnsi="Calibri" w:cs="Calibri"/>
                <w:noProof/>
                <w:sz w:val="32"/>
                <w:szCs w:val="32"/>
              </w:rPr>
              <w:drawing>
                <wp:anchor distT="0" distB="0" distL="114300" distR="114300" simplePos="0" relativeHeight="251658240" behindDoc="0" locked="0" layoutInCell="1" allowOverlap="1" wp14:anchorId="528A05A3" wp14:editId="718C0923">
                  <wp:simplePos x="0" y="0"/>
                  <wp:positionH relativeFrom="column">
                    <wp:posOffset>-65405</wp:posOffset>
                  </wp:positionH>
                  <wp:positionV relativeFrom="paragraph">
                    <wp:posOffset>62865</wp:posOffset>
                  </wp:positionV>
                  <wp:extent cx="2424430" cy="3903345"/>
                  <wp:effectExtent l="0" t="0" r="0" b="8255"/>
                  <wp:wrapTight wrapText="bothSides">
                    <wp:wrapPolygon edited="0">
                      <wp:start x="0" y="0"/>
                      <wp:lineTo x="0" y="21505"/>
                      <wp:lineTo x="21272" y="21505"/>
                      <wp:lineTo x="21272" y="0"/>
                      <wp:lineTo x="0" y="0"/>
                    </wp:wrapPolygon>
                  </wp:wrapTight>
                  <wp:docPr id="4" name="Picture 4" descr="Screen%20Shot%202016-08-11%20at%204.56.1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20Shot%202016-08-11%20at%204.56.16%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4430" cy="3903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32"/>
                <w:szCs w:val="32"/>
              </w:rPr>
              <w:t>Frances Kathleen Oldham Kelsey (July 24, 1914 – August 7, 2015) was a Canadian pharmacologist and physician. As a reviewer for the U.S. Food and Drug Administration, she refused to approve the sale of thalidomide in the USA because she lacked evidence for the drug's safety during pregnancy. Her concerns proved to be justified when it was shown that thalidomide caused serious birth defects in Europe and Canada. Her refusal to relent to pressure from the drug</w:t>
            </w:r>
            <w:r w:rsidR="002A07B4">
              <w:rPr>
                <w:rFonts w:ascii="Calibri" w:hAnsi="Calibri" w:cs="Calibri"/>
                <w:sz w:val="32"/>
                <w:szCs w:val="32"/>
              </w:rPr>
              <w:t>’</w:t>
            </w:r>
            <w:r>
              <w:rPr>
                <w:rFonts w:ascii="Calibri" w:hAnsi="Calibri" w:cs="Calibri"/>
                <w:sz w:val="32"/>
                <w:szCs w:val="32"/>
              </w:rPr>
              <w:t>s manufacturer prevented many thalidomide- related birth defects in the United States</w:t>
            </w:r>
            <w:r w:rsidR="002A07B4">
              <w:rPr>
                <w:rFonts w:ascii="Calibri" w:hAnsi="Calibri" w:cs="Calibri"/>
                <w:sz w:val="32"/>
                <w:szCs w:val="32"/>
              </w:rPr>
              <w:t xml:space="preserve">. </w:t>
            </w:r>
          </w:p>
          <w:p w14:paraId="488EFF7F" w14:textId="7122CCB7" w:rsidR="00342F0A" w:rsidRPr="00342F0A" w:rsidRDefault="00342F0A" w:rsidP="00342F0A">
            <w:pPr>
              <w:pStyle w:val="ListParagraph"/>
              <w:widowControl w:val="0"/>
              <w:numPr>
                <w:ilvl w:val="0"/>
                <w:numId w:val="7"/>
              </w:numPr>
              <w:tabs>
                <w:tab w:val="left" w:pos="220"/>
                <w:tab w:val="left" w:pos="720"/>
              </w:tabs>
              <w:autoSpaceDE w:val="0"/>
              <w:autoSpaceDN w:val="0"/>
              <w:adjustRightInd w:val="0"/>
              <w:spacing w:after="320"/>
              <w:rPr>
                <w:rFonts w:ascii="Calibri" w:hAnsi="Calibri" w:cs="Calibri"/>
                <w:sz w:val="32"/>
                <w:szCs w:val="32"/>
              </w:rPr>
            </w:pPr>
            <w:r w:rsidRPr="00342F0A">
              <w:rPr>
                <w:rFonts w:ascii="Calibri" w:hAnsi="Calibri" w:cs="Calibri"/>
                <w:sz w:val="32"/>
                <w:szCs w:val="32"/>
              </w:rPr>
              <w:t xml:space="preserve">Please view the Globe &amp; Mail video about Frances Kelsey by </w:t>
            </w:r>
            <w:hyperlink r:id="rId6" w:history="1">
              <w:r w:rsidRPr="00342F0A">
                <w:rPr>
                  <w:rStyle w:val="Hyperlink"/>
                  <w:rFonts w:ascii="Times" w:hAnsi="Times" w:cs="Times"/>
                  <w:sz w:val="32"/>
                  <w:szCs w:val="32"/>
                </w:rPr>
                <w:t>clicking here</w:t>
              </w:r>
            </w:hyperlink>
            <w:r w:rsidRPr="00342F0A">
              <w:rPr>
                <w:rFonts w:ascii="Calibri" w:hAnsi="Calibri" w:cs="Calibri"/>
                <w:color w:val="262626"/>
                <w:sz w:val="32"/>
                <w:szCs w:val="32"/>
              </w:rPr>
              <w:t xml:space="preserve">. </w:t>
            </w:r>
            <w:r w:rsidRPr="00342F0A">
              <w:rPr>
                <w:rFonts w:ascii="MS Mincho" w:eastAsia="MS Mincho" w:hAnsi="MS Mincho" w:cs="MS Mincho"/>
                <w:sz w:val="32"/>
                <w:szCs w:val="32"/>
              </w:rPr>
              <w:t> </w:t>
            </w:r>
          </w:p>
          <w:p w14:paraId="16C2C894" w14:textId="77777777" w:rsidR="00342F0A" w:rsidRPr="00342F0A" w:rsidRDefault="00342F0A" w:rsidP="00342F0A">
            <w:pPr>
              <w:pStyle w:val="ListParagraph"/>
              <w:widowControl w:val="0"/>
              <w:tabs>
                <w:tab w:val="left" w:pos="220"/>
                <w:tab w:val="left" w:pos="720"/>
              </w:tabs>
              <w:autoSpaceDE w:val="0"/>
              <w:autoSpaceDN w:val="0"/>
              <w:adjustRightInd w:val="0"/>
              <w:spacing w:after="320"/>
              <w:ind w:left="360"/>
              <w:rPr>
                <w:rFonts w:ascii="Calibri" w:hAnsi="Calibri" w:cs="Calibri"/>
                <w:sz w:val="32"/>
                <w:szCs w:val="32"/>
              </w:rPr>
            </w:pPr>
          </w:p>
          <w:p w14:paraId="30EC972F" w14:textId="77777777" w:rsidR="00342F0A" w:rsidRPr="00342F0A" w:rsidRDefault="00342F0A" w:rsidP="00342F0A">
            <w:pPr>
              <w:pStyle w:val="ListParagraph"/>
              <w:widowControl w:val="0"/>
              <w:numPr>
                <w:ilvl w:val="0"/>
                <w:numId w:val="7"/>
              </w:numPr>
              <w:tabs>
                <w:tab w:val="left" w:pos="220"/>
                <w:tab w:val="left" w:pos="720"/>
              </w:tabs>
              <w:autoSpaceDE w:val="0"/>
              <w:autoSpaceDN w:val="0"/>
              <w:adjustRightInd w:val="0"/>
              <w:spacing w:after="320"/>
              <w:rPr>
                <w:rFonts w:ascii="Calibri" w:hAnsi="Calibri" w:cs="Calibri"/>
                <w:sz w:val="32"/>
                <w:szCs w:val="32"/>
              </w:rPr>
            </w:pPr>
            <w:r w:rsidRPr="00342F0A">
              <w:rPr>
                <w:rFonts w:ascii="Calibri" w:hAnsi="Calibri" w:cs="Calibri"/>
                <w:sz w:val="32"/>
                <w:szCs w:val="32"/>
              </w:rPr>
              <w:t xml:space="preserve">Then, read </w:t>
            </w:r>
            <w:r w:rsidRPr="00342F0A">
              <w:rPr>
                <w:rFonts w:ascii="Calibri" w:hAnsi="Calibri" w:cs="Calibri"/>
                <w:b/>
                <w:sz w:val="32"/>
                <w:szCs w:val="32"/>
                <w:u w:val="single"/>
              </w:rPr>
              <w:t>two brief articles</w:t>
            </w:r>
            <w:r w:rsidRPr="00342F0A">
              <w:rPr>
                <w:rFonts w:ascii="Calibri" w:hAnsi="Calibri" w:cs="Calibri"/>
                <w:sz w:val="32"/>
                <w:szCs w:val="32"/>
              </w:rPr>
              <w:t xml:space="preserve">. </w:t>
            </w:r>
          </w:p>
          <w:p w14:paraId="144C99B3" w14:textId="77777777" w:rsidR="00342F0A" w:rsidRPr="00342F0A" w:rsidRDefault="00342F0A" w:rsidP="00342F0A">
            <w:pPr>
              <w:pStyle w:val="ListParagraph"/>
              <w:widowControl w:val="0"/>
              <w:numPr>
                <w:ilvl w:val="0"/>
                <w:numId w:val="4"/>
              </w:numPr>
              <w:tabs>
                <w:tab w:val="left" w:pos="940"/>
                <w:tab w:val="left" w:pos="1440"/>
              </w:tabs>
              <w:autoSpaceDE w:val="0"/>
              <w:autoSpaceDN w:val="0"/>
              <w:adjustRightInd w:val="0"/>
              <w:spacing w:after="320"/>
              <w:rPr>
                <w:rFonts w:ascii="Calibri" w:hAnsi="Calibri" w:cs="Calibri"/>
                <w:sz w:val="32"/>
                <w:szCs w:val="32"/>
              </w:rPr>
            </w:pPr>
            <w:r w:rsidRPr="00342F0A">
              <w:rPr>
                <w:rFonts w:ascii="Calibri" w:hAnsi="Calibri" w:cs="Calibri"/>
                <w:sz w:val="32"/>
                <w:szCs w:val="32"/>
              </w:rPr>
              <w:t xml:space="preserve">The first is about thalidomide and drug safety by </w:t>
            </w:r>
            <w:hyperlink r:id="rId7" w:history="1">
              <w:r w:rsidRPr="00342F0A">
                <w:rPr>
                  <w:rStyle w:val="Hyperlink"/>
                  <w:rFonts w:ascii="Times" w:hAnsi="Times" w:cs="Times"/>
                  <w:sz w:val="32"/>
                  <w:szCs w:val="32"/>
                </w:rPr>
                <w:t>clicking here</w:t>
              </w:r>
              <w:r w:rsidRPr="00342F0A">
                <w:rPr>
                  <w:rStyle w:val="Hyperlink"/>
                  <w:rFonts w:ascii="Calibri" w:hAnsi="Calibri" w:cs="Calibri"/>
                  <w:sz w:val="32"/>
                  <w:szCs w:val="32"/>
                </w:rPr>
                <w:t>.</w:t>
              </w:r>
            </w:hyperlink>
            <w:r w:rsidRPr="00342F0A">
              <w:rPr>
                <w:rFonts w:ascii="Calibri" w:hAnsi="Calibri" w:cs="Calibri"/>
                <w:color w:val="262626"/>
                <w:sz w:val="32"/>
                <w:szCs w:val="32"/>
              </w:rPr>
              <w:t xml:space="preserve"> </w:t>
            </w:r>
            <w:r w:rsidRPr="00342F0A">
              <w:rPr>
                <w:rFonts w:ascii="MS Mincho" w:eastAsia="MS Mincho" w:hAnsi="MS Mincho" w:cs="MS Mincho"/>
                <w:sz w:val="32"/>
                <w:szCs w:val="32"/>
              </w:rPr>
              <w:t> </w:t>
            </w:r>
          </w:p>
          <w:p w14:paraId="23120A99" w14:textId="5F704563" w:rsidR="00342F0A" w:rsidRPr="00342F0A" w:rsidRDefault="00342F0A" w:rsidP="00342F0A">
            <w:pPr>
              <w:pStyle w:val="ListParagraph"/>
              <w:widowControl w:val="0"/>
              <w:numPr>
                <w:ilvl w:val="0"/>
                <w:numId w:val="4"/>
              </w:numPr>
              <w:tabs>
                <w:tab w:val="left" w:pos="940"/>
                <w:tab w:val="left" w:pos="1440"/>
              </w:tabs>
              <w:autoSpaceDE w:val="0"/>
              <w:autoSpaceDN w:val="0"/>
              <w:adjustRightInd w:val="0"/>
              <w:spacing w:after="320"/>
              <w:rPr>
                <w:rFonts w:ascii="Calibri" w:hAnsi="Calibri" w:cs="Calibri"/>
                <w:sz w:val="32"/>
                <w:szCs w:val="32"/>
              </w:rPr>
            </w:pPr>
            <w:r w:rsidRPr="00342F0A">
              <w:rPr>
                <w:rFonts w:ascii="Calibri" w:hAnsi="Calibri" w:cs="Calibri"/>
                <w:sz w:val="32"/>
                <w:szCs w:val="32"/>
              </w:rPr>
              <w:t xml:space="preserve">The second is about misconceptions that may arise early while learning about genetics </w:t>
            </w:r>
            <w:r w:rsidRPr="00342F0A">
              <w:rPr>
                <w:rFonts w:ascii="MS Mincho" w:eastAsia="MS Mincho" w:hAnsi="MS Mincho" w:cs="MS Mincho"/>
                <w:sz w:val="32"/>
                <w:szCs w:val="32"/>
              </w:rPr>
              <w:t> </w:t>
            </w:r>
            <w:r w:rsidRPr="00342F0A">
              <w:rPr>
                <w:rFonts w:ascii="Calibri" w:hAnsi="Calibri" w:cs="Calibri"/>
                <w:sz w:val="32"/>
                <w:szCs w:val="32"/>
              </w:rPr>
              <w:t xml:space="preserve">&amp; how they affect interpretation of genetic testing results by </w:t>
            </w:r>
            <w:hyperlink r:id="rId8" w:history="1">
              <w:r w:rsidRPr="00342F0A">
                <w:rPr>
                  <w:rStyle w:val="Hyperlink"/>
                  <w:rFonts w:ascii="Times" w:hAnsi="Times" w:cs="Times"/>
                  <w:sz w:val="32"/>
                  <w:szCs w:val="32"/>
                </w:rPr>
                <w:t>clicking here</w:t>
              </w:r>
            </w:hyperlink>
            <w:r w:rsidRPr="00342F0A">
              <w:rPr>
                <w:rFonts w:ascii="Times" w:hAnsi="Times" w:cs="Times"/>
                <w:color w:val="262626"/>
                <w:sz w:val="32"/>
                <w:szCs w:val="32"/>
              </w:rPr>
              <w:t xml:space="preserve">. </w:t>
            </w:r>
            <w:r w:rsidRPr="00342F0A">
              <w:rPr>
                <w:rFonts w:ascii="MS Mincho" w:eastAsia="MS Mincho" w:hAnsi="MS Mincho" w:cs="MS Mincho"/>
                <w:sz w:val="32"/>
                <w:szCs w:val="32"/>
              </w:rPr>
              <w:t> </w:t>
            </w:r>
          </w:p>
          <w:p w14:paraId="4459CE95" w14:textId="33114A67" w:rsidR="00B80DAF" w:rsidRPr="00342F0A" w:rsidRDefault="00342F0A" w:rsidP="00342F0A">
            <w:pPr>
              <w:pStyle w:val="ListParagraph"/>
              <w:widowControl w:val="0"/>
              <w:numPr>
                <w:ilvl w:val="0"/>
                <w:numId w:val="5"/>
              </w:numPr>
              <w:tabs>
                <w:tab w:val="left" w:pos="220"/>
                <w:tab w:val="left" w:pos="720"/>
              </w:tabs>
              <w:autoSpaceDE w:val="0"/>
              <w:autoSpaceDN w:val="0"/>
              <w:adjustRightInd w:val="0"/>
              <w:spacing w:after="320"/>
              <w:rPr>
                <w:rFonts w:ascii="Calibri" w:hAnsi="Calibri" w:cs="Calibri"/>
                <w:sz w:val="32"/>
                <w:szCs w:val="32"/>
              </w:rPr>
            </w:pPr>
            <w:r w:rsidRPr="00342F0A">
              <w:rPr>
                <w:rFonts w:ascii="Calibri" w:hAnsi="Calibri" w:cs="Calibri"/>
                <w:sz w:val="32"/>
                <w:szCs w:val="32"/>
              </w:rPr>
              <w:t>View the Khan Academy video about gene-environment interactions by</w:t>
            </w:r>
            <w:hyperlink r:id="rId9" w:history="1">
              <w:r w:rsidRPr="00342F0A">
                <w:rPr>
                  <w:rStyle w:val="Hyperlink"/>
                  <w:rFonts w:ascii="Calibri" w:hAnsi="Calibri" w:cs="Calibri"/>
                  <w:sz w:val="32"/>
                  <w:szCs w:val="32"/>
                </w:rPr>
                <w:t xml:space="preserve"> </w:t>
              </w:r>
              <w:r w:rsidRPr="00342F0A">
                <w:rPr>
                  <w:rStyle w:val="Hyperlink"/>
                  <w:rFonts w:ascii="Times" w:hAnsi="Times" w:cs="Times"/>
                  <w:sz w:val="32"/>
                  <w:szCs w:val="32"/>
                </w:rPr>
                <w:t>clicking here</w:t>
              </w:r>
              <w:r w:rsidRPr="00342F0A">
                <w:rPr>
                  <w:rStyle w:val="Hyperlink"/>
                  <w:rFonts w:ascii="Calibri" w:hAnsi="Calibri" w:cs="Calibri"/>
                  <w:sz w:val="32"/>
                  <w:szCs w:val="32"/>
                </w:rPr>
                <w:t>.</w:t>
              </w:r>
            </w:hyperlink>
          </w:p>
        </w:tc>
      </w:tr>
    </w:tbl>
    <w:p w14:paraId="66977F46" w14:textId="39602DCE" w:rsidR="00B1612C" w:rsidRDefault="00B1612C"/>
    <w:tbl>
      <w:tblPr>
        <w:tblStyle w:val="TableGrid"/>
        <w:tblW w:w="11250" w:type="dxa"/>
        <w:tblInd w:w="-905" w:type="dxa"/>
        <w:tblLook w:val="04A0" w:firstRow="1" w:lastRow="0" w:firstColumn="1" w:lastColumn="0" w:noHBand="0" w:noVBand="1"/>
      </w:tblPr>
      <w:tblGrid>
        <w:gridCol w:w="11250"/>
      </w:tblGrid>
      <w:tr w:rsidR="00B80DAF" w14:paraId="220C9863" w14:textId="77777777" w:rsidTr="007279FE">
        <w:trPr>
          <w:trHeight w:val="5237"/>
        </w:trPr>
        <w:tc>
          <w:tcPr>
            <w:tcW w:w="11250" w:type="dxa"/>
          </w:tcPr>
          <w:p w14:paraId="6A1D5165" w14:textId="7AC74041" w:rsidR="00B80DAF" w:rsidRPr="005E0447" w:rsidRDefault="00B80DAF" w:rsidP="00B80DAF">
            <w:pPr>
              <w:widowControl w:val="0"/>
              <w:autoSpaceDE w:val="0"/>
              <w:autoSpaceDN w:val="0"/>
              <w:adjustRightInd w:val="0"/>
              <w:spacing w:after="240"/>
              <w:rPr>
                <w:rFonts w:ascii="Calibri" w:hAnsi="Calibri" w:cs="Calibri"/>
                <w:sz w:val="32"/>
                <w:szCs w:val="32"/>
              </w:rPr>
            </w:pPr>
            <w:r>
              <w:rPr>
                <w:rFonts w:ascii="Calibri" w:hAnsi="Calibri" w:cs="Calibri"/>
                <w:sz w:val="32"/>
                <w:szCs w:val="32"/>
              </w:rPr>
              <w:lastRenderedPageBreak/>
              <w:t>After listening to the story and reading the article</w:t>
            </w:r>
            <w:r w:rsidR="00E06ACA">
              <w:rPr>
                <w:rFonts w:ascii="Calibri" w:hAnsi="Calibri" w:cs="Calibri"/>
                <w:sz w:val="32"/>
                <w:szCs w:val="32"/>
              </w:rPr>
              <w:t>s</w:t>
            </w:r>
            <w:bookmarkStart w:id="0" w:name="_GoBack"/>
            <w:bookmarkEnd w:id="0"/>
            <w:r>
              <w:rPr>
                <w:rFonts w:ascii="Calibri" w:hAnsi="Calibri" w:cs="Calibri"/>
                <w:sz w:val="32"/>
                <w:szCs w:val="32"/>
              </w:rPr>
              <w:t xml:space="preserve">, write a 250 word or more reflection with your responses to what you heard. You might wish to discuss: </w:t>
            </w:r>
          </w:p>
          <w:p w14:paraId="0E0FFAC6" w14:textId="77777777" w:rsidR="00342F0A" w:rsidRDefault="00342F0A" w:rsidP="00342F0A">
            <w:pPr>
              <w:widowControl w:val="0"/>
              <w:tabs>
                <w:tab w:val="left" w:pos="220"/>
                <w:tab w:val="left" w:pos="720"/>
              </w:tabs>
              <w:autoSpaceDE w:val="0"/>
              <w:autoSpaceDN w:val="0"/>
              <w:adjustRightInd w:val="0"/>
              <w:spacing w:after="240"/>
              <w:rPr>
                <w:rFonts w:ascii="Times" w:hAnsi="Times" w:cs="Times"/>
              </w:rPr>
            </w:pPr>
            <w:r>
              <w:rPr>
                <w:rFonts w:ascii="Calibri" w:hAnsi="Calibri" w:cs="Calibri"/>
                <w:sz w:val="32"/>
                <w:szCs w:val="32"/>
              </w:rPr>
              <w:t xml:space="preserve">1)  What challenges do you think Dr. Kelsey faced in becoming a scientist &amp; working for the U.S. Food and Drug Administration? </w:t>
            </w:r>
            <w:r>
              <w:rPr>
                <w:rFonts w:ascii="MS Mincho" w:eastAsia="MS Mincho" w:hAnsi="MS Mincho" w:cs="MS Mincho"/>
              </w:rPr>
              <w:t> </w:t>
            </w:r>
          </w:p>
          <w:p w14:paraId="026EC9B6" w14:textId="77777777" w:rsidR="00342F0A" w:rsidRDefault="00342F0A" w:rsidP="00342F0A">
            <w:pPr>
              <w:widowControl w:val="0"/>
              <w:tabs>
                <w:tab w:val="left" w:pos="220"/>
                <w:tab w:val="left" w:pos="720"/>
              </w:tabs>
              <w:autoSpaceDE w:val="0"/>
              <w:autoSpaceDN w:val="0"/>
              <w:adjustRightInd w:val="0"/>
              <w:spacing w:after="240"/>
              <w:rPr>
                <w:rFonts w:ascii="Calibri" w:hAnsi="Calibri" w:cs="Calibri"/>
                <w:sz w:val="32"/>
                <w:szCs w:val="32"/>
              </w:rPr>
            </w:pPr>
            <w:r>
              <w:rPr>
                <w:rFonts w:ascii="Calibri" w:hAnsi="Calibri" w:cs="Calibri"/>
                <w:sz w:val="32"/>
                <w:szCs w:val="32"/>
              </w:rPr>
              <w:t>2)  What can you learn about genetics (genes and traits, environment and phenotypes, disease- associated genes and phenylketonuria) from these articles?</w:t>
            </w:r>
          </w:p>
          <w:p w14:paraId="1F76176E" w14:textId="6F3CF17A" w:rsidR="00342F0A" w:rsidRDefault="00342F0A" w:rsidP="00342F0A">
            <w:pPr>
              <w:widowControl w:val="0"/>
              <w:tabs>
                <w:tab w:val="left" w:pos="220"/>
                <w:tab w:val="left" w:pos="720"/>
              </w:tabs>
              <w:autoSpaceDE w:val="0"/>
              <w:autoSpaceDN w:val="0"/>
              <w:adjustRightInd w:val="0"/>
              <w:spacing w:after="240"/>
              <w:rPr>
                <w:rFonts w:ascii="Times" w:hAnsi="Times" w:cs="Times"/>
              </w:rPr>
            </w:pPr>
            <w:r>
              <w:rPr>
                <w:rFonts w:ascii="Calibri" w:hAnsi="Calibri" w:cs="Calibri"/>
                <w:sz w:val="32"/>
                <w:szCs w:val="32"/>
              </w:rPr>
              <w:t xml:space="preserve">3)  What does the thalidomide story have to do with the interaction of genes and environment? </w:t>
            </w:r>
            <w:r>
              <w:rPr>
                <w:rFonts w:ascii="MS Mincho" w:eastAsia="MS Mincho" w:hAnsi="MS Mincho" w:cs="MS Mincho"/>
              </w:rPr>
              <w:t> </w:t>
            </w:r>
          </w:p>
          <w:p w14:paraId="106D9C0C" w14:textId="77777777" w:rsidR="00342F0A" w:rsidRDefault="00342F0A" w:rsidP="00342F0A">
            <w:pPr>
              <w:widowControl w:val="0"/>
              <w:tabs>
                <w:tab w:val="left" w:pos="220"/>
                <w:tab w:val="left" w:pos="720"/>
              </w:tabs>
              <w:autoSpaceDE w:val="0"/>
              <w:autoSpaceDN w:val="0"/>
              <w:adjustRightInd w:val="0"/>
              <w:spacing w:after="240"/>
              <w:rPr>
                <w:rFonts w:ascii="Times" w:hAnsi="Times" w:cs="Times"/>
              </w:rPr>
            </w:pPr>
            <w:r>
              <w:rPr>
                <w:rFonts w:ascii="Calibri" w:hAnsi="Calibri" w:cs="Calibri"/>
                <w:sz w:val="32"/>
                <w:szCs w:val="32"/>
              </w:rPr>
              <w:t xml:space="preserve">4)  What new questions do you have after reviewing this material? </w:t>
            </w:r>
            <w:r>
              <w:rPr>
                <w:rFonts w:ascii="MS Mincho" w:eastAsia="MS Mincho" w:hAnsi="MS Mincho" w:cs="MS Mincho"/>
              </w:rPr>
              <w:t> </w:t>
            </w:r>
          </w:p>
          <w:p w14:paraId="05F1A326" w14:textId="58083DF7" w:rsidR="00B80DAF" w:rsidRPr="000C5397" w:rsidRDefault="00342F0A" w:rsidP="00342F0A">
            <w:pPr>
              <w:widowControl w:val="0"/>
              <w:autoSpaceDE w:val="0"/>
              <w:autoSpaceDN w:val="0"/>
              <w:adjustRightInd w:val="0"/>
              <w:spacing w:after="240"/>
              <w:rPr>
                <w:rFonts w:ascii="Calibri" w:hAnsi="Calibri" w:cs="Calibri"/>
                <w:sz w:val="32"/>
                <w:szCs w:val="32"/>
              </w:rPr>
            </w:pPr>
            <w:r>
              <w:rPr>
                <w:rFonts w:ascii="Calibri" w:hAnsi="Calibri" w:cs="Calibri"/>
                <w:sz w:val="32"/>
                <w:szCs w:val="32"/>
              </w:rPr>
              <w:t>5)  What do these articles tell you about the types of people that do science?</w:t>
            </w:r>
          </w:p>
        </w:tc>
      </w:tr>
    </w:tbl>
    <w:p w14:paraId="017EAFCA" w14:textId="39C0C593" w:rsidR="00BA2959" w:rsidRDefault="00BA2959" w:rsidP="00BA2959"/>
    <w:sectPr w:rsidR="00BA2959" w:rsidSect="009E6A8E">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8ED2512"/>
    <w:multiLevelType w:val="hybridMultilevel"/>
    <w:tmpl w:val="B15C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97E09"/>
    <w:multiLevelType w:val="hybridMultilevel"/>
    <w:tmpl w:val="86808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EB011D"/>
    <w:multiLevelType w:val="hybridMultilevel"/>
    <w:tmpl w:val="6C72D5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703730"/>
    <w:multiLevelType w:val="hybridMultilevel"/>
    <w:tmpl w:val="E28E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F87993"/>
    <w:multiLevelType w:val="hybridMultilevel"/>
    <w:tmpl w:val="9FCAB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oNotDisplayPageBoundaries/>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8E"/>
    <w:rsid w:val="000C5397"/>
    <w:rsid w:val="00152DAB"/>
    <w:rsid w:val="002A07B4"/>
    <w:rsid w:val="002A4A58"/>
    <w:rsid w:val="00342F0A"/>
    <w:rsid w:val="00483624"/>
    <w:rsid w:val="005827FE"/>
    <w:rsid w:val="005E0447"/>
    <w:rsid w:val="007279FE"/>
    <w:rsid w:val="0097108A"/>
    <w:rsid w:val="009767EB"/>
    <w:rsid w:val="00982BD9"/>
    <w:rsid w:val="009E6A8E"/>
    <w:rsid w:val="00A552BC"/>
    <w:rsid w:val="00AC2A6B"/>
    <w:rsid w:val="00B1612C"/>
    <w:rsid w:val="00B80DAF"/>
    <w:rsid w:val="00BA2959"/>
    <w:rsid w:val="00C12DE0"/>
    <w:rsid w:val="00C743E5"/>
    <w:rsid w:val="00CD0514"/>
    <w:rsid w:val="00D43DB2"/>
    <w:rsid w:val="00E0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24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24"/>
    <w:pPr>
      <w:ind w:left="720"/>
      <w:contextualSpacing/>
    </w:pPr>
  </w:style>
  <w:style w:type="character" w:styleId="Hyperlink">
    <w:name w:val="Hyperlink"/>
    <w:basedOn w:val="DefaultParagraphFont"/>
    <w:uiPriority w:val="99"/>
    <w:unhideWhenUsed/>
    <w:rsid w:val="00483624"/>
    <w:rPr>
      <w:color w:val="0563C1" w:themeColor="hyperlink"/>
      <w:u w:val="single"/>
    </w:rPr>
  </w:style>
  <w:style w:type="table" w:styleId="TableGrid">
    <w:name w:val="Table Grid"/>
    <w:basedOn w:val="TableNormal"/>
    <w:uiPriority w:val="39"/>
    <w:rsid w:val="00B80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heglobeandmail.com/news/national/canadian-doctor-averted-disaster-by-keeping-thalidomide-out-of-the-us/article21721337/" TargetMode="External"/><Relationship Id="rId7" Type="http://schemas.openxmlformats.org/officeDocument/2006/relationships/hyperlink" Target="https://helix.northwestern.edu/article/thalidomide-tragedy-lessons-drug-safety-and-regulation" TargetMode="External"/><Relationship Id="rId8" Type="http://schemas.openxmlformats.org/officeDocument/2006/relationships/hyperlink" Target="https://helix.northwestern.edu/blog/2010/06/misconceptions-mendel" TargetMode="External"/><Relationship Id="rId9" Type="http://schemas.openxmlformats.org/officeDocument/2006/relationships/hyperlink" Target="https://www.khanacademy.org/test-prep/mcat/behavior/behavior-and-genetics/v/gene-environment-interac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Dallara</dc:creator>
  <cp:keywords/>
  <dc:description/>
  <cp:lastModifiedBy>Alexandra Dallara</cp:lastModifiedBy>
  <cp:revision>3</cp:revision>
  <dcterms:created xsi:type="dcterms:W3CDTF">2016-08-12T00:06:00Z</dcterms:created>
  <dcterms:modified xsi:type="dcterms:W3CDTF">2016-08-12T04:52:00Z</dcterms:modified>
</cp:coreProperties>
</file>